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E1FE" w14:textId="2746C0D8" w:rsidR="005C360B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58704B">
        <w:rPr>
          <w:rFonts w:ascii="Times New Roman" w:hAnsi="Times New Roman" w:cs="Times New Roman"/>
          <w:b/>
          <w:bCs/>
          <w:noProof/>
          <w:color w:val="295A4D"/>
          <w:sz w:val="48"/>
          <w:szCs w:val="48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5E24CB2C" wp14:editId="6060DF81">
            <wp:simplePos x="0" y="0"/>
            <wp:positionH relativeFrom="page">
              <wp:align>left</wp:align>
            </wp:positionH>
            <wp:positionV relativeFrom="paragraph">
              <wp:posOffset>-898525</wp:posOffset>
            </wp:positionV>
            <wp:extent cx="7597378" cy="4273420"/>
            <wp:effectExtent l="0" t="0" r="3810" b="0"/>
            <wp:wrapNone/>
            <wp:docPr id="402804187" name="Picture 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04187" name="Picture 7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378" cy="427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25554" w14:textId="0C5801B9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3D242868" w14:textId="2F2EF380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3740478C" w14:textId="38059BBA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4A340E8E" w14:textId="4A1F2B36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28C9975A" w14:textId="58C01E4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5D5667AD" w14:textId="56D4488A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28EFB72B" w14:textId="0F52A8B8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711F41E1" w14:textId="572F46EE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4BC0EB68" w14:textId="4313D18B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6A5A9663" w14:textId="77777777" w:rsidR="00CF46C4" w:rsidRPr="0073326A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13825A8A" w14:textId="7777777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3889AFB1" w14:textId="7777777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6AE509A5" w14:textId="7777777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4D1E48B9" w14:textId="7777777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30961CF0" w14:textId="77777777" w:rsidR="00CF46C4" w:rsidRPr="0058704B" w:rsidRDefault="00CF46C4" w:rsidP="00CF46C4">
      <w:pPr>
        <w:spacing w:line="276" w:lineRule="auto"/>
        <w:jc w:val="center"/>
        <w:rPr>
          <w:rFonts w:ascii="Times New Roman" w:hAnsi="Times New Roman" w:cs="Times New Roman"/>
          <w:b/>
          <w:bCs/>
          <w:color w:val="295A4D"/>
          <w:sz w:val="48"/>
          <w:szCs w:val="48"/>
        </w:rPr>
      </w:pPr>
      <w:r w:rsidRPr="0058704B">
        <w:rPr>
          <w:rFonts w:ascii="Times New Roman" w:hAnsi="Times New Roman" w:cs="Times New Roman"/>
          <w:b/>
          <w:bCs/>
          <w:color w:val="295A4D"/>
          <w:sz w:val="48"/>
          <w:szCs w:val="48"/>
        </w:rPr>
        <w:t xml:space="preserve">DIGITAL, INNOVATION, AND GREEN TECHNOLOGY PROJECT </w:t>
      </w:r>
      <w:r w:rsidRPr="0058704B">
        <w:rPr>
          <w:rFonts w:ascii="Times New Roman" w:hAnsi="Times New Roman" w:cs="Times New Roman"/>
          <w:b/>
          <w:bCs/>
          <w:color w:val="295A4D"/>
          <w:sz w:val="48"/>
          <w:szCs w:val="48"/>
        </w:rPr>
        <w:br/>
        <w:t>(DIGIT PROJECT)</w:t>
      </w:r>
    </w:p>
    <w:p w14:paraId="09E10246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820FE2A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4C356B7" w14:textId="77777777" w:rsidR="00CF46C4" w:rsidRPr="0058704B" w:rsidRDefault="00CF46C4" w:rsidP="00CF46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4B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18DCF260" wp14:editId="6F4B0E23">
            <wp:extent cx="1819910" cy="1819910"/>
            <wp:effectExtent l="0" t="0" r="0" b="0"/>
            <wp:docPr id="16" name="Graphic 15">
              <a:extLst xmlns:a="http://schemas.openxmlformats.org/drawingml/2006/main">
                <a:ext uri="{FF2B5EF4-FFF2-40B4-BE49-F238E27FC236}">
                  <a16:creationId xmlns:a16="http://schemas.microsoft.com/office/drawing/2014/main" id="{CD939E02-7A8D-22E7-6B2D-6451484AD8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>
                      <a:extLst>
                        <a:ext uri="{FF2B5EF4-FFF2-40B4-BE49-F238E27FC236}">
                          <a16:creationId xmlns:a16="http://schemas.microsoft.com/office/drawing/2014/main" id="{CD939E02-7A8D-22E7-6B2D-6451484AD8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92EF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32B963E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A2FA3F0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0B0F8BE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704B">
        <w:rPr>
          <w:rFonts w:ascii="Times New Roman" w:hAnsi="Times New Roman" w:cs="Times New Roman"/>
          <w:b/>
          <w:bCs/>
          <w:noProof/>
          <w:color w:val="295A4D"/>
          <w:sz w:val="48"/>
          <w:szCs w:val="48"/>
          <w:lang w:val="hr-HR" w:eastAsia="hr-HR"/>
        </w:rPr>
        <w:drawing>
          <wp:anchor distT="0" distB="0" distL="114300" distR="114300" simplePos="0" relativeHeight="251661312" behindDoc="1" locked="0" layoutInCell="1" allowOverlap="1" wp14:anchorId="2D6A3693" wp14:editId="5EBC6191">
            <wp:simplePos x="0" y="0"/>
            <wp:positionH relativeFrom="column">
              <wp:posOffset>1897380</wp:posOffset>
            </wp:positionH>
            <wp:positionV relativeFrom="paragraph">
              <wp:posOffset>223520</wp:posOffset>
            </wp:positionV>
            <wp:extent cx="1686560" cy="948055"/>
            <wp:effectExtent l="0" t="0" r="0" b="0"/>
            <wp:wrapNone/>
            <wp:docPr id="298177658" name="Picture 9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49545" name="Picture 9" descr="A blu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04B">
        <w:rPr>
          <w:rFonts w:ascii="Times New Roman" w:hAnsi="Times New Roman" w:cs="Times New Roman"/>
          <w:b/>
          <w:bCs/>
          <w:noProof/>
          <w:color w:val="295A4D"/>
          <w:sz w:val="48"/>
          <w:szCs w:val="48"/>
          <w:lang w:val="hr-HR" w:eastAsia="hr-HR"/>
        </w:rPr>
        <w:drawing>
          <wp:anchor distT="0" distB="0" distL="114300" distR="114300" simplePos="0" relativeHeight="251662336" behindDoc="1" locked="0" layoutInCell="1" allowOverlap="1" wp14:anchorId="7BF7F268" wp14:editId="721B6DD9">
            <wp:simplePos x="0" y="0"/>
            <wp:positionH relativeFrom="column">
              <wp:posOffset>3933825</wp:posOffset>
            </wp:positionH>
            <wp:positionV relativeFrom="paragraph">
              <wp:posOffset>524510</wp:posOffset>
            </wp:positionV>
            <wp:extent cx="1885950" cy="374015"/>
            <wp:effectExtent l="0" t="0" r="6350" b="0"/>
            <wp:wrapNone/>
            <wp:docPr id="173149606" name="Picture 10" descr="A blue and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71549" name="Picture 10" descr="A blue and black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04B">
        <w:rPr>
          <w:rFonts w:ascii="Times New Roman" w:hAnsi="Times New Roman" w:cs="Times New Roman"/>
          <w:b/>
          <w:bCs/>
          <w:noProof/>
          <w:color w:val="295A4D"/>
          <w:sz w:val="48"/>
          <w:szCs w:val="48"/>
          <w:lang w:val="hr-HR" w:eastAsia="hr-HR"/>
        </w:rPr>
        <w:drawing>
          <wp:anchor distT="0" distB="0" distL="114300" distR="114300" simplePos="0" relativeHeight="251663360" behindDoc="1" locked="0" layoutInCell="1" allowOverlap="1" wp14:anchorId="21521798" wp14:editId="655FDC23">
            <wp:simplePos x="0" y="0"/>
            <wp:positionH relativeFrom="column">
              <wp:posOffset>0</wp:posOffset>
            </wp:positionH>
            <wp:positionV relativeFrom="paragraph">
              <wp:posOffset>221381</wp:posOffset>
            </wp:positionV>
            <wp:extent cx="1435261" cy="822884"/>
            <wp:effectExtent l="0" t="0" r="0" b="0"/>
            <wp:wrapNone/>
            <wp:docPr id="1717390838" name="Picture 11" descr="A logo with green and yellow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48426" name="Picture 11" descr="A logo with green and yellow color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61" cy="8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36099" w14:textId="77777777" w:rsidR="00CF46C4" w:rsidRPr="0058704B" w:rsidRDefault="00CF46C4" w:rsidP="00CF46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3DDA3AC" w14:textId="77777777" w:rsidR="00CF46C4" w:rsidRPr="0058704B" w:rsidRDefault="00CF46C4" w:rsidP="00CF46C4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color w:val="156082" w:themeColor="accent1"/>
          <w:sz w:val="28"/>
          <w:szCs w:val="28"/>
        </w:rPr>
      </w:pPr>
    </w:p>
    <w:p w14:paraId="200DBBB4" w14:textId="77777777" w:rsidR="00CF46C4" w:rsidRDefault="00CF46C4" w:rsidP="00DE3BEF">
      <w:pPr>
        <w:spacing w:line="276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59855AE7" w14:textId="77777777" w:rsidR="00CF46C4" w:rsidRPr="00CF46C4" w:rsidRDefault="00CF46C4" w:rsidP="00CF46C4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color w:val="295A4D"/>
          <w:sz w:val="28"/>
          <w:szCs w:val="28"/>
        </w:rPr>
      </w:pPr>
      <w:r w:rsidRPr="00CF46C4">
        <w:rPr>
          <w:rFonts w:ascii="Times New Roman" w:hAnsi="Times New Roman" w:cs="Times New Roman"/>
          <w:b/>
          <w:color w:val="295A4D"/>
          <w:sz w:val="28"/>
          <w:szCs w:val="28"/>
        </w:rPr>
        <w:lastRenderedPageBreak/>
        <w:t>REPUBLIC OF CROATIA</w:t>
      </w:r>
    </w:p>
    <w:p w14:paraId="6BFD2B1A" w14:textId="77777777" w:rsidR="00CF46C4" w:rsidRPr="00CF46C4" w:rsidRDefault="00CF46C4" w:rsidP="00CF46C4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color w:val="295A4D"/>
          <w:sz w:val="28"/>
        </w:rPr>
      </w:pPr>
      <w:r w:rsidRPr="00CF46C4">
        <w:rPr>
          <w:rFonts w:ascii="Times New Roman" w:hAnsi="Times New Roman" w:cs="Times New Roman"/>
          <w:b/>
          <w:color w:val="295A4D"/>
          <w:sz w:val="28"/>
        </w:rPr>
        <w:t>MINISTRY OF SCIENCE, EDUCATION AND YOUTH</w:t>
      </w:r>
    </w:p>
    <w:p w14:paraId="6A6B86D1" w14:textId="77777777" w:rsidR="00CF46C4" w:rsidRPr="0058704B" w:rsidRDefault="00CF46C4" w:rsidP="00CF46C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8704B">
        <w:rPr>
          <w:rFonts w:ascii="Times New Roman" w:hAnsi="Times New Roman" w:cs="Times New Roman"/>
          <w:sz w:val="28"/>
        </w:rPr>
        <w:t xml:space="preserve">Donje </w:t>
      </w:r>
      <w:proofErr w:type="spellStart"/>
      <w:r w:rsidRPr="0058704B">
        <w:rPr>
          <w:rFonts w:ascii="Times New Roman" w:hAnsi="Times New Roman" w:cs="Times New Roman"/>
          <w:sz w:val="28"/>
        </w:rPr>
        <w:t>Svetice</w:t>
      </w:r>
      <w:proofErr w:type="spellEnd"/>
      <w:r w:rsidRPr="0058704B">
        <w:rPr>
          <w:rFonts w:ascii="Times New Roman" w:hAnsi="Times New Roman" w:cs="Times New Roman"/>
          <w:sz w:val="28"/>
        </w:rPr>
        <w:t xml:space="preserve"> 38, Zagreb 10 000, Croatia</w:t>
      </w:r>
    </w:p>
    <w:p w14:paraId="3A20023A" w14:textId="77777777" w:rsidR="00CF46C4" w:rsidRPr="0058704B" w:rsidRDefault="00CF46C4" w:rsidP="00CF46C4">
      <w:pPr>
        <w:pStyle w:val="NormalWeb"/>
        <w:spacing w:before="0" w:beforeAutospacing="0" w:after="0" w:afterAutospacing="0" w:line="276" w:lineRule="auto"/>
        <w:jc w:val="center"/>
        <w:rPr>
          <w:rFonts w:eastAsia="Times New Roman"/>
          <w:b/>
          <w:bCs/>
          <w:smallCaps/>
          <w:sz w:val="28"/>
          <w:szCs w:val="23"/>
          <w:lang w:eastAsia="ru-RU" w:bidi="ru-RU"/>
        </w:rPr>
      </w:pPr>
    </w:p>
    <w:p w14:paraId="79024009" w14:textId="77777777" w:rsidR="00CF46C4" w:rsidRPr="0058704B" w:rsidRDefault="00CF46C4" w:rsidP="00CF46C4">
      <w:pPr>
        <w:pStyle w:val="NormalWeb"/>
        <w:spacing w:before="0" w:beforeAutospacing="0" w:after="0" w:afterAutospacing="0" w:line="276" w:lineRule="auto"/>
        <w:jc w:val="center"/>
        <w:rPr>
          <w:rFonts w:eastAsia="Times New Roman"/>
          <w:b/>
          <w:bCs/>
          <w:smallCaps/>
          <w:sz w:val="32"/>
          <w:szCs w:val="23"/>
          <w:lang w:eastAsia="ru-RU" w:bidi="ru-RU"/>
        </w:rPr>
      </w:pPr>
    </w:p>
    <w:p w14:paraId="665F98B8" w14:textId="77777777" w:rsidR="00CF46C4" w:rsidRPr="0058704B" w:rsidRDefault="00CF46C4" w:rsidP="00CF46C4">
      <w:pPr>
        <w:pStyle w:val="NormalWeb"/>
        <w:spacing w:before="0" w:beforeAutospacing="0" w:after="0" w:afterAutospacing="0" w:line="276" w:lineRule="auto"/>
        <w:jc w:val="center"/>
        <w:rPr>
          <w:rFonts w:eastAsia="Times New Roman"/>
          <w:b/>
          <w:bCs/>
          <w:smallCaps/>
          <w:sz w:val="32"/>
          <w:szCs w:val="23"/>
          <w:lang w:eastAsia="ru-RU" w:bidi="ru-RU"/>
        </w:rPr>
      </w:pPr>
    </w:p>
    <w:p w14:paraId="7C72C9FE" w14:textId="77777777" w:rsidR="00CF46C4" w:rsidRPr="00CF46C4" w:rsidRDefault="00CF46C4" w:rsidP="00CF46C4">
      <w:pPr>
        <w:pStyle w:val="NormalWeb"/>
        <w:spacing w:before="0" w:beforeAutospacing="0" w:after="0" w:afterAutospacing="0" w:line="276" w:lineRule="auto"/>
        <w:jc w:val="center"/>
        <w:rPr>
          <w:rFonts w:eastAsia="Times New Roman"/>
          <w:b/>
          <w:bCs/>
          <w:smallCaps/>
          <w:color w:val="295A4D"/>
          <w:sz w:val="28"/>
          <w:szCs w:val="23"/>
          <w:lang w:eastAsia="ru-RU" w:bidi="ru-RU"/>
        </w:rPr>
      </w:pPr>
      <w:r w:rsidRPr="00CF46C4">
        <w:rPr>
          <w:rFonts w:eastAsia="Times New Roman"/>
          <w:b/>
          <w:bCs/>
          <w:smallCaps/>
          <w:color w:val="295A4D"/>
          <w:sz w:val="28"/>
          <w:szCs w:val="23"/>
          <w:lang w:eastAsia="ru-RU" w:bidi="ru-RU"/>
        </w:rPr>
        <w:t xml:space="preserve">DIGITAL, INNOVATION, AND GREEN TECHNOLOGY PROJECT </w:t>
      </w:r>
      <w:r w:rsidRPr="00CF46C4">
        <w:rPr>
          <w:rFonts w:eastAsia="Times New Roman"/>
          <w:b/>
          <w:bCs/>
          <w:smallCaps/>
          <w:color w:val="295A4D"/>
          <w:sz w:val="28"/>
          <w:szCs w:val="23"/>
          <w:lang w:eastAsia="ru-RU" w:bidi="ru-RU"/>
        </w:rPr>
        <w:br/>
        <w:t>(DIGIT PROJECT)</w:t>
      </w:r>
    </w:p>
    <w:p w14:paraId="5ABC1ED7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</w:pPr>
      <w:r w:rsidRPr="0058704B"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  <w:t>IBRD LOAN NO. 9558-HR</w:t>
      </w:r>
    </w:p>
    <w:p w14:paraId="7DF80AD3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</w:pPr>
      <w:r w:rsidRPr="0058704B"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  <w:t>PROJECT ID: P180755</w:t>
      </w:r>
    </w:p>
    <w:p w14:paraId="2FC42FFF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</w:pPr>
    </w:p>
    <w:p w14:paraId="1472207B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</w:pPr>
      <w:r w:rsidRPr="0058704B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62992F3E" wp14:editId="36BB46CF">
            <wp:extent cx="1797354" cy="929204"/>
            <wp:effectExtent l="0" t="0" r="0" b="4445"/>
            <wp:docPr id="2" name="Picture 2" descr="cid:18f4dc53f3018242f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18f4dc53f3018242f1a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62" cy="95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D629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3"/>
          <w:lang w:eastAsia="ru-RU" w:bidi="ru-RU"/>
        </w:rPr>
      </w:pPr>
    </w:p>
    <w:p w14:paraId="46A8EE09" w14:textId="77777777" w:rsidR="00CF46C4" w:rsidRPr="00CF46C4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</w:pPr>
      <w:r w:rsidRPr="00CF46C4"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  <w:t>GUIDELINES FOR APPLICANTS</w:t>
      </w:r>
    </w:p>
    <w:p w14:paraId="59C0B4F2" w14:textId="77777777" w:rsidR="00CF46C4" w:rsidRPr="00CF46C4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</w:pPr>
      <w:r w:rsidRPr="00CF46C4"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  <w:t>CALL FOR PROPOSALS UNDER THE</w:t>
      </w:r>
    </w:p>
    <w:p w14:paraId="50EA9469" w14:textId="77777777" w:rsidR="00CF46C4" w:rsidRPr="00CF46C4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</w:pPr>
      <w:r w:rsidRPr="00CF46C4"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  <w:t>“</w:t>
      </w:r>
      <w:bookmarkStart w:id="0" w:name="_Hlk209383977"/>
      <w:r w:rsidRPr="00CF46C4"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  <w:t>TECHNOLOGY SCOUTING PROGRAM</w:t>
      </w:r>
      <w:bookmarkEnd w:id="0"/>
      <w:r w:rsidRPr="00CF46C4">
        <w:rPr>
          <w:rFonts w:ascii="Times New Roman" w:eastAsia="Times New Roman" w:hAnsi="Times New Roman" w:cs="Times New Roman"/>
          <w:b/>
          <w:bCs/>
          <w:smallCaps/>
          <w:color w:val="295A4D"/>
          <w:sz w:val="32"/>
          <w:szCs w:val="32"/>
          <w:lang w:eastAsia="ru-RU" w:bidi="ru-RU"/>
        </w:rPr>
        <w:t>”</w:t>
      </w:r>
    </w:p>
    <w:p w14:paraId="524C5A95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156082" w:themeColor="accent1"/>
          <w:sz w:val="32"/>
          <w:szCs w:val="32"/>
          <w:lang w:eastAsia="ru-RU" w:bidi="ru-RU"/>
        </w:rPr>
      </w:pPr>
    </w:p>
    <w:p w14:paraId="563BE92F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eastAsia="Times New Roman" w:hAnsi="Times New Roman" w:cs="Times New Roman"/>
          <w:bCs/>
          <w:smallCaps/>
          <w:sz w:val="32"/>
          <w:szCs w:val="32"/>
          <w:lang w:eastAsia="ru-RU" w:bidi="ru-RU"/>
        </w:rPr>
      </w:pPr>
      <w:r w:rsidRPr="0058704B">
        <w:rPr>
          <w:rFonts w:ascii="Times New Roman" w:eastAsia="Times New Roman" w:hAnsi="Times New Roman" w:cs="Times New Roman"/>
          <w:bCs/>
          <w:smallCaps/>
          <w:sz w:val="32"/>
          <w:szCs w:val="32"/>
          <w:lang w:eastAsia="ru-RU" w:bidi="ru-RU"/>
        </w:rPr>
        <w:t xml:space="preserve">CALL REFERENCE NUMBER: </w:t>
      </w:r>
      <w:r w:rsidRPr="00731E1C">
        <w:rPr>
          <w:rFonts w:ascii="Times New Roman" w:eastAsia="Times New Roman" w:hAnsi="Times New Roman" w:cs="Times New Roman"/>
          <w:bCs/>
          <w:smallCaps/>
          <w:sz w:val="32"/>
          <w:szCs w:val="32"/>
          <w:lang w:eastAsia="ru-RU" w:bidi="ru-RU"/>
        </w:rPr>
        <w:t>DIGIT.1.2.02</w:t>
      </w:r>
    </w:p>
    <w:p w14:paraId="536D8EDC" w14:textId="77777777" w:rsidR="00CF46C4" w:rsidRPr="0058704B" w:rsidRDefault="00CF46C4" w:rsidP="00CF46C4">
      <w:pPr>
        <w:pStyle w:val="BodyText"/>
        <w:spacing w:before="149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0E5F25" w14:textId="77777777" w:rsidR="00CF46C4" w:rsidRPr="0058704B" w:rsidRDefault="00CF46C4" w:rsidP="00CF46C4">
      <w:pPr>
        <w:pStyle w:val="Title"/>
        <w:spacing w:line="276" w:lineRule="auto"/>
        <w:ind w:right="3"/>
        <w:rPr>
          <w:rFonts w:ascii="Times New Roman" w:hAnsi="Times New Roman" w:cs="Times New Roman"/>
          <w:b/>
          <w:w w:val="85"/>
        </w:rPr>
      </w:pPr>
    </w:p>
    <w:p w14:paraId="1B64E463" w14:textId="77777777" w:rsidR="00CF46C4" w:rsidRPr="0058704B" w:rsidRDefault="00CF46C4" w:rsidP="00CF46C4">
      <w:pPr>
        <w:pStyle w:val="BodyText"/>
        <w:spacing w:before="3" w:line="276" w:lineRule="auto"/>
        <w:ind w:left="2" w:right="2"/>
        <w:jc w:val="center"/>
        <w:rPr>
          <w:rFonts w:ascii="Times New Roman" w:hAnsi="Times New Roman" w:cs="Times New Roman"/>
          <w:w w:val="90"/>
          <w:sz w:val="24"/>
        </w:rPr>
      </w:pPr>
    </w:p>
    <w:p w14:paraId="089A6A8F" w14:textId="77777777" w:rsidR="00CF46C4" w:rsidRPr="0058704B" w:rsidRDefault="00CF46C4" w:rsidP="00CF46C4">
      <w:pPr>
        <w:pStyle w:val="BodyText"/>
        <w:spacing w:before="3" w:line="276" w:lineRule="auto"/>
        <w:ind w:left="2" w:right="2"/>
        <w:jc w:val="center"/>
        <w:rPr>
          <w:rFonts w:ascii="Times New Roman" w:hAnsi="Times New Roman" w:cs="Times New Roman"/>
          <w:w w:val="90"/>
          <w:sz w:val="24"/>
        </w:rPr>
      </w:pPr>
    </w:p>
    <w:p w14:paraId="26F69318" w14:textId="77777777" w:rsidR="00CF46C4" w:rsidRPr="0058704B" w:rsidRDefault="00CF46C4" w:rsidP="00CF46C4">
      <w:pPr>
        <w:pStyle w:val="BodyText"/>
        <w:spacing w:before="3" w:line="276" w:lineRule="auto"/>
        <w:ind w:left="2" w:right="2"/>
        <w:jc w:val="center"/>
        <w:rPr>
          <w:rFonts w:ascii="Times New Roman" w:hAnsi="Times New Roman" w:cs="Times New Roman"/>
          <w:w w:val="90"/>
          <w:sz w:val="24"/>
        </w:rPr>
      </w:pPr>
    </w:p>
    <w:p w14:paraId="5C75BA76" w14:textId="77777777" w:rsidR="00CF46C4" w:rsidRPr="0058704B" w:rsidRDefault="00CF46C4" w:rsidP="00CF46C4">
      <w:pPr>
        <w:pStyle w:val="BodyText"/>
        <w:spacing w:before="3" w:line="276" w:lineRule="auto"/>
        <w:ind w:left="2" w:right="2"/>
        <w:jc w:val="center"/>
        <w:rPr>
          <w:rFonts w:ascii="Times New Roman" w:hAnsi="Times New Roman" w:cs="Times New Roman"/>
          <w:w w:val="90"/>
          <w:sz w:val="24"/>
        </w:rPr>
      </w:pPr>
    </w:p>
    <w:p w14:paraId="2B7F2A4B" w14:textId="77777777" w:rsidR="00CF46C4" w:rsidRPr="0058704B" w:rsidRDefault="00CF46C4" w:rsidP="00CF46C4">
      <w:pPr>
        <w:pStyle w:val="BodyText"/>
        <w:spacing w:line="276" w:lineRule="auto"/>
        <w:jc w:val="center"/>
        <w:rPr>
          <w:rFonts w:ascii="Times New Roman" w:hAnsi="Times New Roman" w:cs="Times New Roman"/>
        </w:rPr>
      </w:pPr>
    </w:p>
    <w:p w14:paraId="294E8F44" w14:textId="5AD48B39" w:rsidR="00CF46C4" w:rsidRDefault="001A6A54" w:rsidP="00CF46C4">
      <w:pPr>
        <w:pStyle w:val="BodyText"/>
        <w:spacing w:line="276" w:lineRule="auto"/>
        <w:jc w:val="center"/>
        <w:rPr>
          <w:rFonts w:ascii="Times New Roman" w:hAnsi="Times New Roman" w:cs="Times New Roman"/>
        </w:rPr>
        <w:sectPr w:rsidR="00CF46C4" w:rsidSect="00CF46C4">
          <w:footerReference w:type="even" r:id="rId15"/>
          <w:headerReference w:type="first" r:id="rId16"/>
          <w:pgSz w:w="11910" w:h="16840"/>
          <w:pgMar w:top="1417" w:right="1417" w:bottom="1417" w:left="1417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April</w:t>
      </w:r>
      <w:r w:rsidR="00CF46C4" w:rsidRPr="0058704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2FC75F69" w14:textId="029A2129" w:rsidR="00A61E3C" w:rsidRPr="00CF46C4" w:rsidRDefault="00A61E3C" w:rsidP="00A61E3C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295A4D"/>
          <w:sz w:val="28"/>
        </w:rPr>
      </w:pPr>
      <w:r w:rsidRPr="00CF46C4">
        <w:rPr>
          <w:rFonts w:ascii="Times New Roman" w:hAnsi="Times New Roman" w:cs="Times New Roman"/>
          <w:b/>
          <w:bCs/>
          <w:color w:val="295A4D"/>
          <w:sz w:val="28"/>
        </w:rPr>
        <w:lastRenderedPageBreak/>
        <w:t>Guidelines for contractual research agreements</w:t>
      </w:r>
    </w:p>
    <w:p w14:paraId="4595088E" w14:textId="39092B1A" w:rsidR="001E4DE9" w:rsidRPr="0073326A" w:rsidRDefault="001E4DE9" w:rsidP="005C058C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3326A">
        <w:rPr>
          <w:rFonts w:ascii="Times New Roman" w:hAnsi="Times New Roman" w:cs="Times New Roman"/>
          <w:b/>
        </w:rPr>
        <w:t xml:space="preserve">Note: </w:t>
      </w:r>
      <w:r w:rsidR="00EC5620" w:rsidRPr="0073326A">
        <w:rPr>
          <w:rFonts w:ascii="Times New Roman" w:hAnsi="Times New Roman" w:cs="Times New Roman"/>
          <w:b/>
        </w:rPr>
        <w:t>A</w:t>
      </w:r>
      <w:r w:rsidR="00FA0A2B" w:rsidRPr="0073326A">
        <w:rPr>
          <w:rFonts w:ascii="Times New Roman" w:hAnsi="Times New Roman" w:cs="Times New Roman"/>
          <w:b/>
        </w:rPr>
        <w:t xml:space="preserve"> </w:t>
      </w:r>
      <w:r w:rsidR="008A1234" w:rsidRPr="0073326A">
        <w:rPr>
          <w:rFonts w:ascii="Times New Roman" w:hAnsi="Times New Roman" w:cs="Times New Roman"/>
          <w:b/>
        </w:rPr>
        <w:t>research contract</w:t>
      </w:r>
      <w:r w:rsidR="00EC5620" w:rsidRPr="0073326A">
        <w:rPr>
          <w:rFonts w:ascii="Times New Roman" w:hAnsi="Times New Roman" w:cs="Times New Roman"/>
          <w:b/>
        </w:rPr>
        <w:t xml:space="preserve"> </w:t>
      </w:r>
      <w:r w:rsidR="00FA0A2B" w:rsidRPr="0073326A">
        <w:rPr>
          <w:rFonts w:ascii="Times New Roman" w:hAnsi="Times New Roman" w:cs="Times New Roman"/>
          <w:b/>
        </w:rPr>
        <w:t xml:space="preserve">concluded between the applicant and </w:t>
      </w:r>
      <w:r w:rsidR="008A1234" w:rsidRPr="0073326A">
        <w:rPr>
          <w:rFonts w:ascii="Times New Roman" w:hAnsi="Times New Roman" w:cs="Times New Roman"/>
          <w:b/>
        </w:rPr>
        <w:t>research organization</w:t>
      </w:r>
      <w:r w:rsidR="00FA0A2B" w:rsidRPr="0073326A">
        <w:rPr>
          <w:rFonts w:ascii="Times New Roman" w:hAnsi="Times New Roman" w:cs="Times New Roman"/>
          <w:b/>
        </w:rPr>
        <w:t xml:space="preserve"> </w:t>
      </w:r>
      <w:r w:rsidR="008A1234" w:rsidRPr="0073326A">
        <w:rPr>
          <w:rFonts w:ascii="Times New Roman" w:hAnsi="Times New Roman" w:cs="Times New Roman"/>
          <w:b/>
        </w:rPr>
        <w:t xml:space="preserve">in </w:t>
      </w:r>
      <w:r w:rsidR="00693A55" w:rsidRPr="0073326A">
        <w:rPr>
          <w:rFonts w:ascii="Times New Roman" w:hAnsi="Times New Roman" w:cs="Times New Roman"/>
          <w:b/>
        </w:rPr>
        <w:t xml:space="preserve">this Call </w:t>
      </w:r>
      <w:r w:rsidR="00FA0A2B" w:rsidRPr="0073326A">
        <w:rPr>
          <w:rFonts w:ascii="Times New Roman" w:hAnsi="Times New Roman" w:cs="Times New Roman"/>
          <w:b/>
        </w:rPr>
        <w:t xml:space="preserve">must </w:t>
      </w:r>
      <w:r w:rsidR="008A1234" w:rsidRPr="0073326A">
        <w:rPr>
          <w:rFonts w:ascii="Times New Roman" w:hAnsi="Times New Roman" w:cs="Times New Roman"/>
          <w:b/>
        </w:rPr>
        <w:t>follow content guidelines and meet minimum requirements given below</w:t>
      </w:r>
      <w:r w:rsidR="00EC5620" w:rsidRPr="0073326A">
        <w:rPr>
          <w:rFonts w:ascii="Times New Roman" w:hAnsi="Times New Roman" w:cs="Times New Roman"/>
          <w:b/>
        </w:rPr>
        <w:t xml:space="preserve">. </w:t>
      </w:r>
      <w:r w:rsidR="008A1234" w:rsidRPr="0073326A">
        <w:rPr>
          <w:rFonts w:ascii="Times New Roman" w:hAnsi="Times New Roman" w:cs="Times New Roman"/>
          <w:b/>
        </w:rPr>
        <w:t xml:space="preserve">These contracts will be subject to control during project implementation. </w:t>
      </w:r>
    </w:p>
    <w:p w14:paraId="33B3A52A" w14:textId="77777777" w:rsidR="008A1234" w:rsidRPr="0073326A" w:rsidRDefault="008A1234" w:rsidP="008A1234">
      <w:pPr>
        <w:spacing w:before="240" w:line="276" w:lineRule="auto"/>
        <w:jc w:val="both"/>
        <w:rPr>
          <w:rFonts w:ascii="Times New Roman" w:hAnsi="Times New Roman" w:cs="Times New Roman"/>
          <w:noProof/>
        </w:rPr>
      </w:pPr>
      <w:r w:rsidRPr="0073326A">
        <w:rPr>
          <w:rFonts w:ascii="Times New Roman" w:hAnsi="Times New Roman" w:cs="Times New Roman"/>
          <w:noProof/>
        </w:rPr>
        <w:t xml:space="preserve">When establishing a contractual research agreement between a company (client) and a research organization (service provider), both parties should ensure that the contract clearly defines their respective </w:t>
      </w:r>
      <w:r w:rsidRPr="0073326A">
        <w:rPr>
          <w:rFonts w:ascii="Times New Roman" w:hAnsi="Times New Roman" w:cs="Times New Roman"/>
          <w:bCs/>
          <w:noProof/>
        </w:rPr>
        <w:t>rights, obligations, ownership, and responsibilities</w:t>
      </w:r>
      <w:r w:rsidRPr="0073326A">
        <w:rPr>
          <w:rFonts w:ascii="Times New Roman" w:hAnsi="Times New Roman" w:cs="Times New Roman"/>
          <w:noProof/>
        </w:rPr>
        <w:t>.</w:t>
      </w:r>
    </w:p>
    <w:p w14:paraId="0DD40278" w14:textId="54400C59" w:rsidR="008A1234" w:rsidRPr="0073326A" w:rsidRDefault="008A1234" w:rsidP="008A1234">
      <w:pPr>
        <w:spacing w:before="240" w:line="276" w:lineRule="auto"/>
        <w:jc w:val="both"/>
        <w:rPr>
          <w:rFonts w:ascii="Times New Roman" w:hAnsi="Times New Roman" w:cs="Times New Roman"/>
          <w:noProof/>
        </w:rPr>
      </w:pPr>
      <w:r w:rsidRPr="0073326A">
        <w:rPr>
          <w:rFonts w:ascii="Times New Roman" w:hAnsi="Times New Roman" w:cs="Times New Roman"/>
          <w:noProof/>
        </w:rPr>
        <w:t xml:space="preserve">The </w:t>
      </w:r>
      <w:r w:rsidR="005C285F" w:rsidRPr="0073326A">
        <w:rPr>
          <w:rFonts w:ascii="Times New Roman" w:hAnsi="Times New Roman" w:cs="Times New Roman"/>
          <w:noProof/>
        </w:rPr>
        <w:t xml:space="preserve">contract </w:t>
      </w:r>
      <w:r w:rsidRPr="0073326A">
        <w:rPr>
          <w:rFonts w:ascii="Times New Roman" w:hAnsi="Times New Roman" w:cs="Times New Roman"/>
          <w:noProof/>
        </w:rPr>
        <w:t>agreement should include at least the following key elements:</w:t>
      </w:r>
    </w:p>
    <w:p w14:paraId="33A04C98" w14:textId="77777777" w:rsidR="008A1234" w:rsidRPr="0073326A" w:rsidRDefault="008A1234" w:rsidP="008A1234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  <w:noProof/>
        </w:rPr>
        <w:t>1. Scope and objectives of research</w:t>
      </w:r>
    </w:p>
    <w:p w14:paraId="27A731D2" w14:textId="77777777" w:rsidR="008A1234" w:rsidRPr="0073326A" w:rsidRDefault="008A1234" w:rsidP="008A1234">
      <w:pPr>
        <w:pStyle w:val="ListParagraph"/>
        <w:numPr>
          <w:ilvl w:val="0"/>
          <w:numId w:val="32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Clearly define the research objectives, expected outcomes, and scope of work to be performed.</w:t>
      </w:r>
    </w:p>
    <w:p w14:paraId="542F0D85" w14:textId="77777777" w:rsidR="008A1234" w:rsidRPr="0073326A" w:rsidRDefault="008A1234" w:rsidP="008A1234">
      <w:pPr>
        <w:pStyle w:val="ListParagraph"/>
        <w:numPr>
          <w:ilvl w:val="0"/>
          <w:numId w:val="32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Specify measurable deliverables, timelines, and performance indicators.</w:t>
      </w:r>
    </w:p>
    <w:p w14:paraId="2C26850E" w14:textId="77777777" w:rsidR="008A1234" w:rsidRPr="0073326A" w:rsidRDefault="008A1234" w:rsidP="008A1234">
      <w:pPr>
        <w:pStyle w:val="ListParagraph"/>
        <w:numPr>
          <w:ilvl w:val="0"/>
          <w:numId w:val="32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Clarify that the research organization performs the work on behalf of the company and in accordance with the defined technical specifications.</w:t>
      </w:r>
    </w:p>
    <w:p w14:paraId="11FA3797" w14:textId="77777777" w:rsidR="008A1234" w:rsidRPr="0073326A" w:rsidRDefault="008D17FF" w:rsidP="008A1234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  <w:noProof/>
        </w:rPr>
        <w:t xml:space="preserve">2. </w:t>
      </w:r>
      <w:r w:rsidR="008A1234" w:rsidRPr="0073326A">
        <w:rPr>
          <w:rFonts w:ascii="Times New Roman" w:hAnsi="Times New Roman" w:cs="Times New Roman"/>
          <w:b/>
          <w:bCs/>
          <w:noProof/>
        </w:rPr>
        <w:t>Roles, responsibilities, and communication</w:t>
      </w:r>
    </w:p>
    <w:p w14:paraId="473364B0" w14:textId="77777777" w:rsidR="008A1234" w:rsidRPr="0073326A" w:rsidRDefault="008A1234" w:rsidP="008A1234">
      <w:pPr>
        <w:pStyle w:val="ListParagraph"/>
        <w:numPr>
          <w:ilvl w:val="0"/>
          <w:numId w:val="34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The company provides the research brief, relevant background information, and materials necessary for implementation.</w:t>
      </w:r>
    </w:p>
    <w:p w14:paraId="19AA7CB2" w14:textId="77777777" w:rsidR="008A1234" w:rsidRPr="0073326A" w:rsidRDefault="008A1234" w:rsidP="008A1234">
      <w:pPr>
        <w:pStyle w:val="ListParagraph"/>
        <w:numPr>
          <w:ilvl w:val="0"/>
          <w:numId w:val="34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The research organization performs the research using its own expertise, infrastructure, and personnel.</w:t>
      </w:r>
    </w:p>
    <w:p w14:paraId="3C7E7A74" w14:textId="77777777" w:rsidR="008A1234" w:rsidRPr="0073326A" w:rsidRDefault="008A1234" w:rsidP="008A1234">
      <w:pPr>
        <w:pStyle w:val="ListParagraph"/>
        <w:numPr>
          <w:ilvl w:val="0"/>
          <w:numId w:val="34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Define the communication channels, reporting procedures, and approval process for interim and final results.</w:t>
      </w:r>
    </w:p>
    <w:p w14:paraId="6ABD9369" w14:textId="77777777" w:rsidR="008A1234" w:rsidRPr="0073326A" w:rsidRDefault="008D17FF" w:rsidP="008A1234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</w:rPr>
        <w:t xml:space="preserve">3. </w:t>
      </w:r>
      <w:r w:rsidR="008A1234" w:rsidRPr="0073326A">
        <w:rPr>
          <w:rFonts w:ascii="Times New Roman" w:hAnsi="Times New Roman" w:cs="Times New Roman"/>
          <w:b/>
          <w:bCs/>
          <w:lang w:val="hr-HR"/>
        </w:rPr>
        <w:t xml:space="preserve">Financial </w:t>
      </w:r>
      <w:r w:rsidR="008A1234" w:rsidRPr="0073326A">
        <w:rPr>
          <w:rFonts w:ascii="Times New Roman" w:hAnsi="Times New Roman" w:cs="Times New Roman"/>
          <w:b/>
          <w:bCs/>
          <w:noProof/>
        </w:rPr>
        <w:t>terms</w:t>
      </w:r>
    </w:p>
    <w:p w14:paraId="05CD21C7" w14:textId="77777777" w:rsidR="008A1234" w:rsidRPr="0073326A" w:rsidRDefault="008A1234" w:rsidP="008A1234">
      <w:pPr>
        <w:pStyle w:val="ListParagraph"/>
        <w:numPr>
          <w:ilvl w:val="0"/>
          <w:numId w:val="36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Define the total contract value, payment schedule, and invoicing conditions.</w:t>
      </w:r>
    </w:p>
    <w:p w14:paraId="299581B9" w14:textId="77777777" w:rsidR="008A1234" w:rsidRPr="0073326A" w:rsidRDefault="008A1234" w:rsidP="008A1234">
      <w:pPr>
        <w:pStyle w:val="ListParagraph"/>
        <w:numPr>
          <w:ilvl w:val="0"/>
          <w:numId w:val="36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Include provisions on eligible costs, possible budget adjustments, and payment linked to deliverables.</w:t>
      </w:r>
    </w:p>
    <w:p w14:paraId="1A8A6D6D" w14:textId="2DF352D5" w:rsidR="008D17FF" w:rsidRPr="0073326A" w:rsidRDefault="008D17FF" w:rsidP="008A1234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  <w:noProof/>
        </w:rPr>
        <w:t xml:space="preserve">4. Risk </w:t>
      </w:r>
      <w:r w:rsidR="006E1677" w:rsidRPr="0073326A">
        <w:rPr>
          <w:rFonts w:ascii="Times New Roman" w:hAnsi="Times New Roman" w:cs="Times New Roman"/>
          <w:b/>
          <w:bCs/>
          <w:noProof/>
        </w:rPr>
        <w:t>management</w:t>
      </w:r>
    </w:p>
    <w:p w14:paraId="4B949D0E" w14:textId="77777777" w:rsidR="008D17FF" w:rsidRPr="0073326A" w:rsidRDefault="008D17FF" w:rsidP="005C058C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Include provisions for risk sharing among the partners.</w:t>
      </w:r>
    </w:p>
    <w:p w14:paraId="68F3B0B1" w14:textId="3F915DAD" w:rsidR="00204C35" w:rsidRPr="0073326A" w:rsidRDefault="004E5051" w:rsidP="00204C35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5</w:t>
      </w:r>
      <w:r w:rsidR="00506EA8" w:rsidRPr="0073326A">
        <w:rPr>
          <w:rFonts w:ascii="Times New Roman" w:hAnsi="Times New Roman" w:cs="Times New Roman"/>
          <w:b/>
          <w:bCs/>
        </w:rPr>
        <w:t xml:space="preserve">. </w:t>
      </w:r>
      <w:r w:rsidR="00204C35" w:rsidRPr="0073326A">
        <w:rPr>
          <w:rFonts w:ascii="Times New Roman" w:hAnsi="Times New Roman" w:cs="Times New Roman"/>
          <w:b/>
          <w:bCs/>
        </w:rPr>
        <w:t>Intellectual property (IP) management (if applicable)</w:t>
      </w:r>
    </w:p>
    <w:p w14:paraId="67CE620C" w14:textId="0E191E6A" w:rsidR="00204C35" w:rsidRPr="0073326A" w:rsidRDefault="00204C35" w:rsidP="00204C35">
      <w:pPr>
        <w:numPr>
          <w:ilvl w:val="0"/>
          <w:numId w:val="2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Provide information on the terms and management of intellectual property rights.</w:t>
      </w:r>
    </w:p>
    <w:p w14:paraId="739447D7" w14:textId="77777777" w:rsidR="00204C35" w:rsidRPr="0073326A" w:rsidRDefault="00204C35" w:rsidP="00204C35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Specify provisions regarding:</w:t>
      </w:r>
    </w:p>
    <w:p w14:paraId="1A94E903" w14:textId="13CF04BA" w:rsidR="00204C35" w:rsidRPr="0073326A" w:rsidRDefault="00204C35" w:rsidP="00204C35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 xml:space="preserve">Background IP: Intellectual property brought into the project by any </w:t>
      </w:r>
      <w:r w:rsidR="00004500" w:rsidRPr="0073326A">
        <w:rPr>
          <w:rFonts w:ascii="Times New Roman" w:hAnsi="Times New Roman" w:cs="Times New Roman"/>
        </w:rPr>
        <w:t>contract party</w:t>
      </w:r>
      <w:r w:rsidRPr="0073326A">
        <w:rPr>
          <w:rFonts w:ascii="Times New Roman" w:hAnsi="Times New Roman" w:cs="Times New Roman"/>
        </w:rPr>
        <w:t>.</w:t>
      </w:r>
    </w:p>
    <w:p w14:paraId="5DBBCCC3" w14:textId="77777777" w:rsidR="00204C35" w:rsidRPr="0073326A" w:rsidRDefault="00204C35" w:rsidP="00204C35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Foreground IP: Intellectual property created during the project.</w:t>
      </w:r>
    </w:p>
    <w:p w14:paraId="08AB4948" w14:textId="77777777" w:rsidR="00204C35" w:rsidRPr="0073326A" w:rsidRDefault="00204C35" w:rsidP="00204C35">
      <w:pPr>
        <w:numPr>
          <w:ilvl w:val="0"/>
          <w:numId w:val="2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Ownership and usage rights for IP resulting from the project, including licensing and sharing provisions.</w:t>
      </w:r>
    </w:p>
    <w:p w14:paraId="5AAF2DE1" w14:textId="01BE6D03" w:rsidR="002049BC" w:rsidRPr="0073326A" w:rsidRDefault="004E5051" w:rsidP="002049BC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</w:rPr>
        <w:lastRenderedPageBreak/>
        <w:t>6</w:t>
      </w:r>
      <w:r w:rsidR="008D17FF" w:rsidRPr="0073326A">
        <w:rPr>
          <w:rFonts w:ascii="Times New Roman" w:hAnsi="Times New Roman" w:cs="Times New Roman"/>
          <w:b/>
          <w:bCs/>
        </w:rPr>
        <w:t xml:space="preserve">. </w:t>
      </w:r>
      <w:r w:rsidR="002049BC" w:rsidRPr="0073326A">
        <w:rPr>
          <w:rFonts w:ascii="Times New Roman" w:hAnsi="Times New Roman" w:cs="Times New Roman"/>
          <w:b/>
          <w:bCs/>
          <w:noProof/>
        </w:rPr>
        <w:t>Confidentiality and data protection</w:t>
      </w:r>
    </w:p>
    <w:p w14:paraId="0D8004A8" w14:textId="77777777" w:rsidR="002049BC" w:rsidRPr="0073326A" w:rsidRDefault="002049BC" w:rsidP="002049BC">
      <w:pPr>
        <w:pStyle w:val="ListParagraph"/>
        <w:numPr>
          <w:ilvl w:val="0"/>
          <w:numId w:val="38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Include a non-disclosure clause protecting all confidential and proprietary information shared during the project.</w:t>
      </w:r>
    </w:p>
    <w:p w14:paraId="033F5470" w14:textId="2CCC458C" w:rsidR="002049BC" w:rsidRPr="0073326A" w:rsidRDefault="002049BC" w:rsidP="002049BC">
      <w:pPr>
        <w:pStyle w:val="ListParagraph"/>
        <w:numPr>
          <w:ilvl w:val="0"/>
          <w:numId w:val="38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Specify the duration of confiden</w:t>
      </w:r>
      <w:r w:rsidR="00266F76" w:rsidRPr="0073326A">
        <w:rPr>
          <w:rFonts w:ascii="Times New Roman" w:hAnsi="Times New Roman" w:cs="Times New Roman"/>
          <w:bCs/>
          <w:noProof/>
        </w:rPr>
        <w:t>tiality obligations (commonly 3-</w:t>
      </w:r>
      <w:r w:rsidRPr="0073326A">
        <w:rPr>
          <w:rFonts w:ascii="Times New Roman" w:hAnsi="Times New Roman" w:cs="Times New Roman"/>
          <w:bCs/>
          <w:noProof/>
        </w:rPr>
        <w:t>5 years after project completion).</w:t>
      </w:r>
    </w:p>
    <w:p w14:paraId="2F96F107" w14:textId="77777777" w:rsidR="002049BC" w:rsidRPr="0073326A" w:rsidRDefault="002049BC" w:rsidP="002049BC">
      <w:pPr>
        <w:pStyle w:val="ListParagraph"/>
        <w:numPr>
          <w:ilvl w:val="0"/>
          <w:numId w:val="38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Ensure compliance with relevant data protection laws (e.g. GDPR).</w:t>
      </w:r>
    </w:p>
    <w:p w14:paraId="26E3565C" w14:textId="77777777" w:rsidR="002049BC" w:rsidRPr="0073326A" w:rsidRDefault="002049BC" w:rsidP="002049BC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3326A">
        <w:rPr>
          <w:rFonts w:ascii="Times New Roman" w:hAnsi="Times New Roman" w:cs="Times New Roman"/>
          <w:b/>
          <w:bCs/>
          <w:noProof/>
        </w:rPr>
        <w:t>7</w:t>
      </w:r>
      <w:r w:rsidR="008D17FF" w:rsidRPr="0073326A">
        <w:rPr>
          <w:rFonts w:ascii="Times New Roman" w:hAnsi="Times New Roman" w:cs="Times New Roman"/>
          <w:b/>
          <w:bCs/>
          <w:noProof/>
        </w:rPr>
        <w:t xml:space="preserve">. </w:t>
      </w:r>
      <w:r w:rsidRPr="0073326A">
        <w:rPr>
          <w:rFonts w:ascii="Times New Roman" w:hAnsi="Times New Roman" w:cs="Times New Roman"/>
          <w:b/>
          <w:bCs/>
          <w:noProof/>
        </w:rPr>
        <w:t>Technology transfer and use of results</w:t>
      </w:r>
    </w:p>
    <w:p w14:paraId="7A74C502" w14:textId="77777777" w:rsidR="002049BC" w:rsidRPr="0073326A" w:rsidRDefault="002049BC" w:rsidP="002049BC">
      <w:pPr>
        <w:pStyle w:val="ListParagraph"/>
        <w:numPr>
          <w:ilvl w:val="0"/>
          <w:numId w:val="40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Define how results may be used, licensed, or commercialized after project completion.</w:t>
      </w:r>
    </w:p>
    <w:p w14:paraId="6CB6E9C4" w14:textId="77777777" w:rsidR="002049BC" w:rsidRPr="0073326A" w:rsidRDefault="002049BC" w:rsidP="002049BC">
      <w:pPr>
        <w:pStyle w:val="ListParagraph"/>
        <w:numPr>
          <w:ilvl w:val="0"/>
          <w:numId w:val="40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If the company intends to transfer or sublicense results, include terms for acknowledging the research organization or ensuring continued access to knowledge.</w:t>
      </w:r>
    </w:p>
    <w:p w14:paraId="4032F0C6" w14:textId="77777777" w:rsidR="002049BC" w:rsidRPr="0073326A" w:rsidRDefault="002049BC" w:rsidP="002049BC">
      <w:pPr>
        <w:pStyle w:val="ListParagraph"/>
        <w:numPr>
          <w:ilvl w:val="0"/>
          <w:numId w:val="40"/>
        </w:numPr>
        <w:spacing w:before="240" w:line="276" w:lineRule="auto"/>
        <w:jc w:val="both"/>
        <w:rPr>
          <w:rFonts w:ascii="Times New Roman" w:hAnsi="Times New Roman" w:cs="Times New Roman"/>
          <w:bCs/>
          <w:noProof/>
        </w:rPr>
      </w:pPr>
      <w:r w:rsidRPr="0073326A">
        <w:rPr>
          <w:rFonts w:ascii="Times New Roman" w:hAnsi="Times New Roman" w:cs="Times New Roman"/>
          <w:bCs/>
          <w:noProof/>
        </w:rPr>
        <w:t>Optionally, include provisions for follow-up collaboration or participation in further R&amp;D projects.</w:t>
      </w:r>
    </w:p>
    <w:p w14:paraId="5263464D" w14:textId="3DC0C21B" w:rsidR="008D17FF" w:rsidRPr="0073326A" w:rsidRDefault="004E5051" w:rsidP="002049B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8</w:t>
      </w:r>
      <w:r w:rsidR="008D17FF" w:rsidRPr="0073326A">
        <w:rPr>
          <w:rFonts w:ascii="Times New Roman" w:hAnsi="Times New Roman" w:cs="Times New Roman"/>
          <w:b/>
          <w:bCs/>
        </w:rPr>
        <w:t>. Non-</w:t>
      </w:r>
      <w:r w:rsidR="006E1677" w:rsidRPr="0073326A">
        <w:rPr>
          <w:rFonts w:ascii="Times New Roman" w:hAnsi="Times New Roman" w:cs="Times New Roman"/>
          <w:b/>
          <w:bCs/>
        </w:rPr>
        <w:t>compliance</w:t>
      </w:r>
    </w:p>
    <w:p w14:paraId="458CDEA0" w14:textId="77777777" w:rsidR="008D17FF" w:rsidRPr="0073326A" w:rsidRDefault="008D17FF" w:rsidP="005C058C">
      <w:pPr>
        <w:numPr>
          <w:ilvl w:val="0"/>
          <w:numId w:val="24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Define the provisions in case of failure to fulfill obligations by any party.</w:t>
      </w:r>
    </w:p>
    <w:p w14:paraId="727DA391" w14:textId="6ED55AD0" w:rsidR="008D17FF" w:rsidRPr="0073326A" w:rsidRDefault="004E5051" w:rsidP="005C058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9</w:t>
      </w:r>
      <w:r w:rsidR="002049BC" w:rsidRPr="0073326A">
        <w:rPr>
          <w:rFonts w:ascii="Times New Roman" w:hAnsi="Times New Roman" w:cs="Times New Roman"/>
          <w:b/>
          <w:bCs/>
        </w:rPr>
        <w:t>.</w:t>
      </w:r>
      <w:r w:rsidR="008D17FF" w:rsidRPr="0073326A">
        <w:rPr>
          <w:rFonts w:ascii="Times New Roman" w:hAnsi="Times New Roman" w:cs="Times New Roman"/>
          <w:b/>
          <w:bCs/>
        </w:rPr>
        <w:t xml:space="preserve"> Data </w:t>
      </w:r>
      <w:r w:rsidR="006E1677" w:rsidRPr="0073326A">
        <w:rPr>
          <w:rFonts w:ascii="Times New Roman" w:hAnsi="Times New Roman" w:cs="Times New Roman"/>
          <w:b/>
          <w:bCs/>
        </w:rPr>
        <w:t>access and protection</w:t>
      </w:r>
    </w:p>
    <w:p w14:paraId="58F8DFF8" w14:textId="77777777" w:rsidR="008D17FF" w:rsidRPr="0073326A" w:rsidRDefault="008D17FF" w:rsidP="005C058C">
      <w:pPr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Specify the provisions related to data access and the protection of personal data.</w:t>
      </w:r>
    </w:p>
    <w:p w14:paraId="5EB51551" w14:textId="022A8808" w:rsidR="008D17FF" w:rsidRPr="0073326A" w:rsidRDefault="002049BC" w:rsidP="005C058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10</w:t>
      </w:r>
      <w:r w:rsidR="008D17FF" w:rsidRPr="0073326A">
        <w:rPr>
          <w:rFonts w:ascii="Times New Roman" w:hAnsi="Times New Roman" w:cs="Times New Roman"/>
          <w:b/>
          <w:bCs/>
        </w:rPr>
        <w:t xml:space="preserve">. Mutual </w:t>
      </w:r>
      <w:r w:rsidR="006E1677" w:rsidRPr="0073326A">
        <w:rPr>
          <w:rFonts w:ascii="Times New Roman" w:hAnsi="Times New Roman" w:cs="Times New Roman"/>
          <w:b/>
          <w:bCs/>
        </w:rPr>
        <w:t>liability and guarantees</w:t>
      </w:r>
    </w:p>
    <w:p w14:paraId="63FFB7AA" w14:textId="7B819F6B" w:rsidR="008D17FF" w:rsidRPr="0073326A" w:rsidRDefault="008D17FF" w:rsidP="005C058C">
      <w:pPr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 xml:space="preserve">Include provisions for mutual liability and guarantees among the </w:t>
      </w:r>
      <w:r w:rsidR="00266F76" w:rsidRPr="0073326A">
        <w:rPr>
          <w:rFonts w:ascii="Times New Roman" w:hAnsi="Times New Roman" w:cs="Times New Roman"/>
        </w:rPr>
        <w:t>parties</w:t>
      </w:r>
      <w:r w:rsidRPr="0073326A">
        <w:rPr>
          <w:rFonts w:ascii="Times New Roman" w:hAnsi="Times New Roman" w:cs="Times New Roman"/>
        </w:rPr>
        <w:t>.</w:t>
      </w:r>
    </w:p>
    <w:p w14:paraId="6435DC88" w14:textId="58BB3FAC" w:rsidR="008D17FF" w:rsidRPr="0073326A" w:rsidRDefault="002049BC" w:rsidP="005C058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11</w:t>
      </w:r>
      <w:r w:rsidR="008D17FF" w:rsidRPr="0073326A">
        <w:rPr>
          <w:rFonts w:ascii="Times New Roman" w:hAnsi="Times New Roman" w:cs="Times New Roman"/>
          <w:b/>
          <w:bCs/>
        </w:rPr>
        <w:t xml:space="preserve">. Liability for </w:t>
      </w:r>
      <w:r w:rsidR="006E1677" w:rsidRPr="0073326A">
        <w:rPr>
          <w:rFonts w:ascii="Times New Roman" w:hAnsi="Times New Roman" w:cs="Times New Roman"/>
          <w:b/>
          <w:bCs/>
        </w:rPr>
        <w:t>damage</w:t>
      </w:r>
    </w:p>
    <w:p w14:paraId="015A3D34" w14:textId="77777777" w:rsidR="008D17FF" w:rsidRPr="0073326A" w:rsidRDefault="008D17FF" w:rsidP="005C058C">
      <w:pPr>
        <w:numPr>
          <w:ilvl w:val="0"/>
          <w:numId w:val="28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Define responsibility for damage caused to third parties.</w:t>
      </w:r>
    </w:p>
    <w:p w14:paraId="7DEAA7AA" w14:textId="315A02E1" w:rsidR="008D17FF" w:rsidRPr="0073326A" w:rsidRDefault="002049BC" w:rsidP="005C058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12</w:t>
      </w:r>
      <w:r w:rsidR="008D17FF" w:rsidRPr="0073326A">
        <w:rPr>
          <w:rFonts w:ascii="Times New Roman" w:hAnsi="Times New Roman" w:cs="Times New Roman"/>
          <w:b/>
          <w:bCs/>
        </w:rPr>
        <w:t xml:space="preserve">. Use of </w:t>
      </w:r>
      <w:r w:rsidR="006E1677" w:rsidRPr="0073326A">
        <w:rPr>
          <w:rFonts w:ascii="Times New Roman" w:hAnsi="Times New Roman" w:cs="Times New Roman"/>
          <w:b/>
          <w:bCs/>
        </w:rPr>
        <w:t>background information and confidential information</w:t>
      </w:r>
    </w:p>
    <w:p w14:paraId="2E2F124E" w14:textId="77777777" w:rsidR="008D17FF" w:rsidRPr="0073326A" w:rsidRDefault="008D17FF" w:rsidP="005C058C">
      <w:pPr>
        <w:numPr>
          <w:ilvl w:val="0"/>
          <w:numId w:val="29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Address the use of background information, protection of confidential information, and public dissemination of project results.</w:t>
      </w:r>
    </w:p>
    <w:p w14:paraId="5EDE0EC7" w14:textId="79BCA693" w:rsidR="008D17FF" w:rsidRPr="0073326A" w:rsidRDefault="002049BC" w:rsidP="005C058C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13</w:t>
      </w:r>
      <w:r w:rsidR="008D17FF" w:rsidRPr="0073326A">
        <w:rPr>
          <w:rFonts w:ascii="Times New Roman" w:hAnsi="Times New Roman" w:cs="Times New Roman"/>
          <w:b/>
          <w:bCs/>
        </w:rPr>
        <w:t xml:space="preserve">. Public </w:t>
      </w:r>
      <w:r w:rsidR="006E1677" w:rsidRPr="0073326A">
        <w:rPr>
          <w:rFonts w:ascii="Times New Roman" w:hAnsi="Times New Roman" w:cs="Times New Roman"/>
          <w:b/>
          <w:bCs/>
        </w:rPr>
        <w:t>disclosure and visibility</w:t>
      </w:r>
    </w:p>
    <w:p w14:paraId="07E9DD56" w14:textId="77777777" w:rsidR="008D17FF" w:rsidRPr="0073326A" w:rsidRDefault="008D17FF" w:rsidP="005C058C">
      <w:pPr>
        <w:numPr>
          <w:ilvl w:val="0"/>
          <w:numId w:val="30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Include provisions on public communication of the project’s results, ensuring public awareness and visibility.</w:t>
      </w:r>
    </w:p>
    <w:p w14:paraId="787649EC" w14:textId="14E73687" w:rsidR="006D58D6" w:rsidRPr="0073326A" w:rsidRDefault="002049BC" w:rsidP="006D58D6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14</w:t>
      </w:r>
      <w:r w:rsidR="006D58D6" w:rsidRPr="0073326A">
        <w:rPr>
          <w:rFonts w:ascii="Times New Roman" w:hAnsi="Times New Roman" w:cs="Times New Roman"/>
          <w:b/>
          <w:bCs/>
        </w:rPr>
        <w:t>. Force majeure</w:t>
      </w:r>
    </w:p>
    <w:p w14:paraId="6CFEEE2C" w14:textId="77777777" w:rsidR="006D58D6" w:rsidRPr="0073326A" w:rsidRDefault="006D58D6" w:rsidP="006D58D6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Define the procedures and obligations in case of force majeure events.</w:t>
      </w:r>
    </w:p>
    <w:p w14:paraId="0B040F8A" w14:textId="6F07A3B2" w:rsidR="006D58D6" w:rsidRPr="0073326A" w:rsidRDefault="004E5051" w:rsidP="006D58D6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73326A">
        <w:rPr>
          <w:rFonts w:ascii="Times New Roman" w:hAnsi="Times New Roman" w:cs="Times New Roman"/>
          <w:b/>
          <w:bCs/>
        </w:rPr>
        <w:t>1</w:t>
      </w:r>
      <w:r w:rsidR="002049BC" w:rsidRPr="0073326A">
        <w:rPr>
          <w:rFonts w:ascii="Times New Roman" w:hAnsi="Times New Roman" w:cs="Times New Roman"/>
          <w:b/>
          <w:bCs/>
        </w:rPr>
        <w:t>5</w:t>
      </w:r>
      <w:r w:rsidR="006D58D6" w:rsidRPr="0073326A">
        <w:rPr>
          <w:rFonts w:ascii="Times New Roman" w:hAnsi="Times New Roman" w:cs="Times New Roman"/>
          <w:b/>
          <w:bCs/>
        </w:rPr>
        <w:t>. Applicable law and dispute resolution</w:t>
      </w:r>
    </w:p>
    <w:p w14:paraId="7AC9741D" w14:textId="0891AC52" w:rsidR="008D17FF" w:rsidRPr="0073326A" w:rsidRDefault="006D58D6" w:rsidP="005C058C">
      <w:pPr>
        <w:numPr>
          <w:ilvl w:val="0"/>
          <w:numId w:val="20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73326A">
        <w:rPr>
          <w:rFonts w:ascii="Times New Roman" w:hAnsi="Times New Roman" w:cs="Times New Roman"/>
        </w:rPr>
        <w:t>Specify the applicable law and mechanisms for resolving disputes.</w:t>
      </w:r>
    </w:p>
    <w:sectPr w:rsidR="008D17FF" w:rsidRPr="0073326A" w:rsidSect="00CF46C4">
      <w:footerReference w:type="even" r:id="rId17"/>
      <w:footerReference w:type="default" r:id="rId1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68DD" w14:textId="77777777" w:rsidR="009000E0" w:rsidRDefault="009000E0" w:rsidP="00B52060">
      <w:r>
        <w:separator/>
      </w:r>
    </w:p>
  </w:endnote>
  <w:endnote w:type="continuationSeparator" w:id="0">
    <w:p w14:paraId="45B70E7F" w14:textId="77777777" w:rsidR="009000E0" w:rsidRDefault="009000E0" w:rsidP="00B5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  <w:sig w:usb0="20000285" w:usb1="00000000" w:usb2="00000000" w:usb3="00000000" w:csb0="0000019E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FE35" w14:textId="77777777" w:rsidR="00CF46C4" w:rsidRDefault="00CF46C4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71BDEF" wp14:editId="56907B3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82170640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6EC38" w14:textId="77777777" w:rsidR="00CF46C4" w:rsidRPr="00FC3116" w:rsidRDefault="00CF46C4" w:rsidP="00FC31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31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1BD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52A6EC38" w14:textId="77777777" w:rsidR="00CF46C4" w:rsidRPr="00FC3116" w:rsidRDefault="00CF46C4" w:rsidP="00FC31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31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14C1" w14:textId="019BACD4" w:rsidR="003569DA" w:rsidRDefault="003569DA">
    <w:pPr>
      <w:pStyle w:val="Footer"/>
    </w:pPr>
    <w:r>
      <w:rPr>
        <w:noProof/>
        <w:lang w:val="hr-HR" w:eastAsia="hr-HR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1FC22" wp14:editId="275957E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253989944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332F6" w14:textId="1676B47A" w:rsidR="003569DA" w:rsidRPr="003569DA" w:rsidRDefault="003569DA" w:rsidP="003569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9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1FC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187332F6" w14:textId="1676B47A" w:rsidR="003569DA" w:rsidRPr="003569DA" w:rsidRDefault="003569DA" w:rsidP="003569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9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12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B92FE" w14:textId="66D6C16D" w:rsidR="00CF46C4" w:rsidRDefault="00CF46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A8D2BD" w14:textId="773D6D78" w:rsidR="00B52060" w:rsidRPr="00CF46C4" w:rsidRDefault="00B52060" w:rsidP="00CF4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F51C" w14:textId="77777777" w:rsidR="009000E0" w:rsidRDefault="009000E0" w:rsidP="00B52060">
      <w:r>
        <w:separator/>
      </w:r>
    </w:p>
  </w:footnote>
  <w:footnote w:type="continuationSeparator" w:id="0">
    <w:p w14:paraId="7A756DCE" w14:textId="77777777" w:rsidR="009000E0" w:rsidRDefault="009000E0" w:rsidP="00B5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7177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271FCF" w14:textId="251913B3" w:rsidR="00CF46C4" w:rsidRDefault="00CF46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761288" w14:textId="77777777" w:rsidR="00CF46C4" w:rsidRDefault="00CF4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A6D"/>
    <w:multiLevelType w:val="hybridMultilevel"/>
    <w:tmpl w:val="8778956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F1F"/>
    <w:multiLevelType w:val="multilevel"/>
    <w:tmpl w:val="407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1E8D"/>
    <w:multiLevelType w:val="multilevel"/>
    <w:tmpl w:val="810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D4055"/>
    <w:multiLevelType w:val="multilevel"/>
    <w:tmpl w:val="C9F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40FAB"/>
    <w:multiLevelType w:val="multilevel"/>
    <w:tmpl w:val="987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121CC"/>
    <w:multiLevelType w:val="multilevel"/>
    <w:tmpl w:val="96C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52CC3"/>
    <w:multiLevelType w:val="multilevel"/>
    <w:tmpl w:val="E6A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45A1D"/>
    <w:multiLevelType w:val="hybridMultilevel"/>
    <w:tmpl w:val="A7E68EC6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691F"/>
    <w:multiLevelType w:val="hybridMultilevel"/>
    <w:tmpl w:val="A898575A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4BC6"/>
    <w:multiLevelType w:val="multilevel"/>
    <w:tmpl w:val="67FE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A49FF"/>
    <w:multiLevelType w:val="multilevel"/>
    <w:tmpl w:val="245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0721E"/>
    <w:multiLevelType w:val="hybridMultilevel"/>
    <w:tmpl w:val="858823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A77EB2"/>
    <w:multiLevelType w:val="multilevel"/>
    <w:tmpl w:val="AB9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56A3A"/>
    <w:multiLevelType w:val="hybridMultilevel"/>
    <w:tmpl w:val="01BA904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43E9D"/>
    <w:multiLevelType w:val="hybridMultilevel"/>
    <w:tmpl w:val="A898575A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33FD"/>
    <w:multiLevelType w:val="multilevel"/>
    <w:tmpl w:val="583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94BBD"/>
    <w:multiLevelType w:val="hybridMultilevel"/>
    <w:tmpl w:val="C43A99C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4831A7"/>
    <w:multiLevelType w:val="hybridMultilevel"/>
    <w:tmpl w:val="17A0C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7F67F0"/>
    <w:multiLevelType w:val="multilevel"/>
    <w:tmpl w:val="6FDA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F32D1"/>
    <w:multiLevelType w:val="hybridMultilevel"/>
    <w:tmpl w:val="01BA904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11E98"/>
    <w:multiLevelType w:val="multilevel"/>
    <w:tmpl w:val="D99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36377"/>
    <w:multiLevelType w:val="hybridMultilevel"/>
    <w:tmpl w:val="8778956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AC6"/>
    <w:multiLevelType w:val="multilevel"/>
    <w:tmpl w:val="DB1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45162"/>
    <w:multiLevelType w:val="hybridMultilevel"/>
    <w:tmpl w:val="BEC622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5F202D"/>
    <w:multiLevelType w:val="multilevel"/>
    <w:tmpl w:val="48BE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B2331"/>
    <w:multiLevelType w:val="hybridMultilevel"/>
    <w:tmpl w:val="92622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33C56"/>
    <w:multiLevelType w:val="hybridMultilevel"/>
    <w:tmpl w:val="7C74D6D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FA1"/>
    <w:multiLevelType w:val="multilevel"/>
    <w:tmpl w:val="54F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03505"/>
    <w:multiLevelType w:val="multilevel"/>
    <w:tmpl w:val="78F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50B65"/>
    <w:multiLevelType w:val="multilevel"/>
    <w:tmpl w:val="C380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44C43"/>
    <w:multiLevelType w:val="multilevel"/>
    <w:tmpl w:val="EF4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1EEE"/>
    <w:multiLevelType w:val="hybridMultilevel"/>
    <w:tmpl w:val="87789564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8161E"/>
    <w:multiLevelType w:val="hybridMultilevel"/>
    <w:tmpl w:val="6B06421C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1601D"/>
    <w:multiLevelType w:val="multilevel"/>
    <w:tmpl w:val="05A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4A7398"/>
    <w:multiLevelType w:val="hybridMultilevel"/>
    <w:tmpl w:val="CBCABE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90627C"/>
    <w:multiLevelType w:val="multilevel"/>
    <w:tmpl w:val="D7A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CA7929"/>
    <w:multiLevelType w:val="hybridMultilevel"/>
    <w:tmpl w:val="E2EAC4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3A0D1B"/>
    <w:multiLevelType w:val="hybridMultilevel"/>
    <w:tmpl w:val="FAD8C5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EB1837"/>
    <w:multiLevelType w:val="multilevel"/>
    <w:tmpl w:val="3B54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5B548D"/>
    <w:multiLevelType w:val="multilevel"/>
    <w:tmpl w:val="FA26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17367"/>
    <w:multiLevelType w:val="hybridMultilevel"/>
    <w:tmpl w:val="210E85E0"/>
    <w:lvl w:ilvl="0" w:tplc="0F64ED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84BAA"/>
    <w:multiLevelType w:val="multilevel"/>
    <w:tmpl w:val="E520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463764">
    <w:abstractNumId w:val="3"/>
  </w:num>
  <w:num w:numId="2" w16cid:durableId="1998535091">
    <w:abstractNumId w:val="13"/>
  </w:num>
  <w:num w:numId="3" w16cid:durableId="42096941">
    <w:abstractNumId w:val="32"/>
  </w:num>
  <w:num w:numId="4" w16cid:durableId="367991639">
    <w:abstractNumId w:val="40"/>
  </w:num>
  <w:num w:numId="5" w16cid:durableId="2071684743">
    <w:abstractNumId w:val="21"/>
  </w:num>
  <w:num w:numId="6" w16cid:durableId="1344740648">
    <w:abstractNumId w:val="14"/>
  </w:num>
  <w:num w:numId="7" w16cid:durableId="2030066167">
    <w:abstractNumId w:val="7"/>
  </w:num>
  <w:num w:numId="8" w16cid:durableId="408431538">
    <w:abstractNumId w:val="31"/>
  </w:num>
  <w:num w:numId="9" w16cid:durableId="187379059">
    <w:abstractNumId w:val="0"/>
  </w:num>
  <w:num w:numId="10" w16cid:durableId="807556028">
    <w:abstractNumId w:val="26"/>
  </w:num>
  <w:num w:numId="11" w16cid:durableId="1927107147">
    <w:abstractNumId w:val="19"/>
  </w:num>
  <w:num w:numId="12" w16cid:durableId="1008216801">
    <w:abstractNumId w:val="8"/>
  </w:num>
  <w:num w:numId="13" w16cid:durableId="1509055531">
    <w:abstractNumId w:val="25"/>
  </w:num>
  <w:num w:numId="14" w16cid:durableId="1312714727">
    <w:abstractNumId w:val="16"/>
  </w:num>
  <w:num w:numId="15" w16cid:durableId="1302271993">
    <w:abstractNumId w:val="27"/>
  </w:num>
  <w:num w:numId="16" w16cid:durableId="261494753">
    <w:abstractNumId w:val="24"/>
  </w:num>
  <w:num w:numId="17" w16cid:durableId="130825414">
    <w:abstractNumId w:val="41"/>
  </w:num>
  <w:num w:numId="18" w16cid:durableId="765809894">
    <w:abstractNumId w:val="10"/>
  </w:num>
  <w:num w:numId="19" w16cid:durableId="822547525">
    <w:abstractNumId w:val="33"/>
  </w:num>
  <w:num w:numId="20" w16cid:durableId="341711934">
    <w:abstractNumId w:val="2"/>
  </w:num>
  <w:num w:numId="21" w16cid:durableId="439030830">
    <w:abstractNumId w:val="35"/>
  </w:num>
  <w:num w:numId="22" w16cid:durableId="1391265491">
    <w:abstractNumId w:val="18"/>
  </w:num>
  <w:num w:numId="23" w16cid:durableId="394670069">
    <w:abstractNumId w:val="22"/>
  </w:num>
  <w:num w:numId="24" w16cid:durableId="152764740">
    <w:abstractNumId w:val="4"/>
  </w:num>
  <w:num w:numId="25" w16cid:durableId="136341474">
    <w:abstractNumId w:val="20"/>
  </w:num>
  <w:num w:numId="26" w16cid:durableId="1511018207">
    <w:abstractNumId w:val="5"/>
  </w:num>
  <w:num w:numId="27" w16cid:durableId="596983275">
    <w:abstractNumId w:val="6"/>
  </w:num>
  <w:num w:numId="28" w16cid:durableId="966198742">
    <w:abstractNumId w:val="29"/>
  </w:num>
  <w:num w:numId="29" w16cid:durableId="684863803">
    <w:abstractNumId w:val="38"/>
  </w:num>
  <w:num w:numId="30" w16cid:durableId="19820338">
    <w:abstractNumId w:val="30"/>
  </w:num>
  <w:num w:numId="31" w16cid:durableId="266816047">
    <w:abstractNumId w:val="28"/>
  </w:num>
  <w:num w:numId="32" w16cid:durableId="1360277517">
    <w:abstractNumId w:val="17"/>
  </w:num>
  <w:num w:numId="33" w16cid:durableId="995524597">
    <w:abstractNumId w:val="39"/>
  </w:num>
  <w:num w:numId="34" w16cid:durableId="974604869">
    <w:abstractNumId w:val="34"/>
  </w:num>
  <w:num w:numId="35" w16cid:durableId="1835680334">
    <w:abstractNumId w:val="15"/>
  </w:num>
  <w:num w:numId="36" w16cid:durableId="1243755227">
    <w:abstractNumId w:val="23"/>
  </w:num>
  <w:num w:numId="37" w16cid:durableId="903684723">
    <w:abstractNumId w:val="1"/>
  </w:num>
  <w:num w:numId="38" w16cid:durableId="635179560">
    <w:abstractNumId w:val="11"/>
  </w:num>
  <w:num w:numId="39" w16cid:durableId="1436292630">
    <w:abstractNumId w:val="12"/>
  </w:num>
  <w:num w:numId="40" w16cid:durableId="1114983736">
    <w:abstractNumId w:val="36"/>
  </w:num>
  <w:num w:numId="41" w16cid:durableId="1347058877">
    <w:abstractNumId w:val="9"/>
  </w:num>
  <w:num w:numId="42" w16cid:durableId="19356302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0F"/>
    <w:rsid w:val="000039F8"/>
    <w:rsid w:val="00004500"/>
    <w:rsid w:val="000514D0"/>
    <w:rsid w:val="00055A63"/>
    <w:rsid w:val="000758B1"/>
    <w:rsid w:val="00077DF4"/>
    <w:rsid w:val="000A094E"/>
    <w:rsid w:val="000F6A52"/>
    <w:rsid w:val="00136007"/>
    <w:rsid w:val="001556CD"/>
    <w:rsid w:val="00166A12"/>
    <w:rsid w:val="00176DC6"/>
    <w:rsid w:val="0018539F"/>
    <w:rsid w:val="001A6A54"/>
    <w:rsid w:val="001B03F7"/>
    <w:rsid w:val="001B2B82"/>
    <w:rsid w:val="001E4DE9"/>
    <w:rsid w:val="001F1D2D"/>
    <w:rsid w:val="002049BC"/>
    <w:rsid w:val="00204C35"/>
    <w:rsid w:val="002171C4"/>
    <w:rsid w:val="00266F76"/>
    <w:rsid w:val="0027174D"/>
    <w:rsid w:val="00273FFD"/>
    <w:rsid w:val="002B530A"/>
    <w:rsid w:val="002F2FF8"/>
    <w:rsid w:val="00333B9E"/>
    <w:rsid w:val="003424B7"/>
    <w:rsid w:val="00344A90"/>
    <w:rsid w:val="00344B6B"/>
    <w:rsid w:val="003569DA"/>
    <w:rsid w:val="003A495F"/>
    <w:rsid w:val="003A6DFE"/>
    <w:rsid w:val="003D428C"/>
    <w:rsid w:val="003E5D88"/>
    <w:rsid w:val="0042368E"/>
    <w:rsid w:val="00426B53"/>
    <w:rsid w:val="004535E1"/>
    <w:rsid w:val="00466CF7"/>
    <w:rsid w:val="004C19E6"/>
    <w:rsid w:val="004C41E1"/>
    <w:rsid w:val="004D541B"/>
    <w:rsid w:val="004E5051"/>
    <w:rsid w:val="00506EA8"/>
    <w:rsid w:val="005B0459"/>
    <w:rsid w:val="005C058C"/>
    <w:rsid w:val="005C285F"/>
    <w:rsid w:val="005C360B"/>
    <w:rsid w:val="00613251"/>
    <w:rsid w:val="0065490C"/>
    <w:rsid w:val="00693A55"/>
    <w:rsid w:val="006C21CC"/>
    <w:rsid w:val="006D58D6"/>
    <w:rsid w:val="006D69B6"/>
    <w:rsid w:val="006E1677"/>
    <w:rsid w:val="0073326A"/>
    <w:rsid w:val="00750CE8"/>
    <w:rsid w:val="00765C0F"/>
    <w:rsid w:val="007F4547"/>
    <w:rsid w:val="00804C91"/>
    <w:rsid w:val="00856883"/>
    <w:rsid w:val="0086590F"/>
    <w:rsid w:val="008717BC"/>
    <w:rsid w:val="008A1234"/>
    <w:rsid w:val="008A48F5"/>
    <w:rsid w:val="008C4684"/>
    <w:rsid w:val="008D17FF"/>
    <w:rsid w:val="008F1A8F"/>
    <w:rsid w:val="008F7A5E"/>
    <w:rsid w:val="009000E0"/>
    <w:rsid w:val="00937564"/>
    <w:rsid w:val="00960863"/>
    <w:rsid w:val="00967751"/>
    <w:rsid w:val="00972DD8"/>
    <w:rsid w:val="00975CAB"/>
    <w:rsid w:val="00993774"/>
    <w:rsid w:val="009A29F9"/>
    <w:rsid w:val="009B4A1D"/>
    <w:rsid w:val="009E2EF8"/>
    <w:rsid w:val="00A21D51"/>
    <w:rsid w:val="00A61092"/>
    <w:rsid w:val="00A61E3C"/>
    <w:rsid w:val="00A82A92"/>
    <w:rsid w:val="00A8549E"/>
    <w:rsid w:val="00B3730C"/>
    <w:rsid w:val="00B52060"/>
    <w:rsid w:val="00B8533E"/>
    <w:rsid w:val="00BB0EB7"/>
    <w:rsid w:val="00BB53EE"/>
    <w:rsid w:val="00C42FE3"/>
    <w:rsid w:val="00C6072B"/>
    <w:rsid w:val="00C616FF"/>
    <w:rsid w:val="00CB0DDA"/>
    <w:rsid w:val="00CD4221"/>
    <w:rsid w:val="00CE0796"/>
    <w:rsid w:val="00CF46C4"/>
    <w:rsid w:val="00D07202"/>
    <w:rsid w:val="00D34659"/>
    <w:rsid w:val="00D34BDD"/>
    <w:rsid w:val="00D54AD2"/>
    <w:rsid w:val="00D6480A"/>
    <w:rsid w:val="00DD3C8B"/>
    <w:rsid w:val="00DE3BEF"/>
    <w:rsid w:val="00DF34F1"/>
    <w:rsid w:val="00E34170"/>
    <w:rsid w:val="00E850EB"/>
    <w:rsid w:val="00E92618"/>
    <w:rsid w:val="00EA0339"/>
    <w:rsid w:val="00EA4D67"/>
    <w:rsid w:val="00EC5620"/>
    <w:rsid w:val="00F22346"/>
    <w:rsid w:val="00F54CD2"/>
    <w:rsid w:val="00F61490"/>
    <w:rsid w:val="00FA0A2B"/>
    <w:rsid w:val="00FB769B"/>
    <w:rsid w:val="00FD7A03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23CC4"/>
  <w15:chartTrackingRefBased/>
  <w15:docId w15:val="{5B61E4C6-7A54-4D52-8D8C-9C65B37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E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65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0F"/>
    <w:rPr>
      <w:i/>
      <w:iCs/>
      <w:color w:val="404040" w:themeColor="text1" w:themeTint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86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0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344A90"/>
  </w:style>
  <w:style w:type="paragraph" w:styleId="BodyText">
    <w:name w:val="Body Text"/>
    <w:basedOn w:val="Normal"/>
    <w:link w:val="BodyTextChar"/>
    <w:uiPriority w:val="99"/>
    <w:semiHidden/>
    <w:unhideWhenUsed/>
    <w:rsid w:val="009375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7564"/>
    <w:rPr>
      <w:rFonts w:ascii="Carlito" w:eastAsia="Carlito" w:hAnsi="Carlito" w:cs="Carlito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20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060"/>
    <w:rPr>
      <w:rFonts w:ascii="Carlito" w:eastAsia="Carlito" w:hAnsi="Carlito" w:cs="Carlito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20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060"/>
    <w:rPr>
      <w:rFonts w:ascii="Carlito" w:eastAsia="Carlito" w:hAnsi="Carlito" w:cs="Carlito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1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4D0"/>
    <w:rPr>
      <w:rFonts w:ascii="Carlito" w:eastAsia="Carlito" w:hAnsi="Carlito" w:cs="Carlito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D0"/>
    <w:rPr>
      <w:rFonts w:ascii="Carlito" w:eastAsia="Carlito" w:hAnsi="Carlito" w:cs="Carlito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14D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4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30A"/>
    <w:rPr>
      <w:rFonts w:ascii="Segoe UI" w:eastAsia="Carlito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CD4221"/>
    <w:pPr>
      <w:spacing w:after="0" w:line="240" w:lineRule="auto"/>
    </w:pPr>
    <w:rPr>
      <w:rFonts w:ascii="Carlito" w:eastAsia="Carlito" w:hAnsi="Carlito" w:cs="Carlito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F46C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18f4dc53f3018242f1a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4352-01CB-476B-962B-54DAE2C0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iivandic</cp:lastModifiedBy>
  <cp:revision>99</cp:revision>
  <dcterms:created xsi:type="dcterms:W3CDTF">2024-08-01T08:23:00Z</dcterms:created>
  <dcterms:modified xsi:type="dcterms:W3CDTF">2026-04-14T07:46:00Z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565f0952435cb8953eabe710bf56c863648b55b93bb09eeb294a2b92798dff0e</vt:lpwstr>
  </property>
  <property fmtid="{D5CDD505-2E9C-101B-9397-08002B2CF9AE}" pid="3" name="ClassificationContentMarkingFooterShapeIds">
    <vt:lpwstr>32e02d52,4abe5e38,782c5dbc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Use Only</vt:lpwstr>
  </property>
  <property fmtid="{D5CDD505-2E9C-101B-9397-08002B2CF9AE}" pid="6" name="MSIP_Label_f1bf45b6-5649-4236-82a3-f45024cd282e_Enabled">
    <vt:lpwstr>true</vt:lpwstr>
  </property>
  <property fmtid="{D5CDD505-2E9C-101B-9397-08002B2CF9AE}" pid="7" name="MSIP_Label_f1bf45b6-5649-4236-82a3-f45024cd282e_SetDate">
    <vt:lpwstr>2025-09-21T20:47:37Z</vt:lpwstr>
  </property>
  <property fmtid="{D5CDD505-2E9C-101B-9397-08002B2CF9AE}" pid="8" name="MSIP_Label_f1bf45b6-5649-4236-82a3-f45024cd282e_Method">
    <vt:lpwstr>Standard</vt:lpwstr>
  </property>
  <property fmtid="{D5CDD505-2E9C-101B-9397-08002B2CF9AE}" pid="9" name="MSIP_Label_f1bf45b6-5649-4236-82a3-f45024cd282e_Name">
    <vt:lpwstr>Official Use Only</vt:lpwstr>
  </property>
  <property fmtid="{D5CDD505-2E9C-101B-9397-08002B2CF9AE}" pid="10" name="MSIP_Label_f1bf45b6-5649-4236-82a3-f45024cd282e_SiteId">
    <vt:lpwstr>31a2fec0-266b-4c67-b56e-2796d8f59c36</vt:lpwstr>
  </property>
  <property fmtid="{D5CDD505-2E9C-101B-9397-08002B2CF9AE}" pid="11" name="MSIP_Label_f1bf45b6-5649-4236-82a3-f45024cd282e_ActionId">
    <vt:lpwstr>7985eb62-52b1-450b-b94e-6bcdc5e4c95c</vt:lpwstr>
  </property>
  <property fmtid="{D5CDD505-2E9C-101B-9397-08002B2CF9AE}" pid="12" name="MSIP_Label_f1bf45b6-5649-4236-82a3-f45024cd282e_ContentBits">
    <vt:lpwstr>2</vt:lpwstr>
  </property>
  <property fmtid="{D5CDD505-2E9C-101B-9397-08002B2CF9AE}" pid="13" name="MSIP_Label_f1bf45b6-5649-4236-82a3-f45024cd282e_Tag">
    <vt:lpwstr>10, 3, 0, 1</vt:lpwstr>
  </property>
</Properties>
</file>